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48" w:rsidRDefault="00747EC1" w:rsidP="00DF7348">
      <w:pPr>
        <w:tabs>
          <w:tab w:val="num" w:pos="720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</w:t>
      </w:r>
      <w:r w:rsidR="00DF73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الملك سعود</w:t>
      </w:r>
    </w:p>
    <w:p w:rsidR="00DF7348" w:rsidRDefault="00DF7348" w:rsidP="00DF7348">
      <w:pPr>
        <w:tabs>
          <w:tab w:val="num" w:pos="720"/>
        </w:tabs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وكالة الجامعة للشؤون التعليمية والأكاديمية</w:t>
      </w:r>
    </w:p>
    <w:p w:rsid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47EC1" w:rsidRDefault="00747EC1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1785B" w:rsidRDefault="00E95B83" w:rsidP="00747EC1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تقرير</w:t>
      </w:r>
      <w:r w:rsidR="00C178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عن </w:t>
      </w:r>
      <w:r w:rsidR="00747E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نتائج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دراسة </w:t>
      </w:r>
      <w:r w:rsidR="00C178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مستوى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إشراك طلبة </w:t>
      </w:r>
      <w:r w:rsidR="00C178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جامعة الملك سعود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العملية التعليمية </w:t>
      </w:r>
    </w:p>
    <w:p w:rsidR="00747EC1" w:rsidRPr="00747EC1" w:rsidRDefault="00747EC1" w:rsidP="00747EC1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747EC1">
        <w:rPr>
          <w:rFonts w:ascii="Traditional Arabic" w:hAnsi="Traditional Arabic" w:cs="Traditional Arabic"/>
          <w:b/>
          <w:bCs/>
          <w:sz w:val="32"/>
          <w:szCs w:val="32"/>
        </w:rPr>
        <w:t xml:space="preserve"> Students Engagement</w:t>
      </w:r>
    </w:p>
    <w:p w:rsidR="00DF7348" w:rsidRDefault="00DF7348" w:rsidP="00DF7348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178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إعداد مركز التميز في التعلم والتعليم </w:t>
      </w:r>
    </w:p>
    <w:p w:rsid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1435هـ</w:t>
      </w:r>
    </w:p>
    <w:p w:rsidR="00C1785B" w:rsidRDefault="00C1785B">
      <w:pPr>
        <w:bidi w:val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C1785B" w:rsidRPr="00C1785B" w:rsidRDefault="00C1785B" w:rsidP="00C1785B">
      <w:pPr>
        <w:tabs>
          <w:tab w:val="num" w:pos="720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42ACA" w:rsidRPr="00242ACA" w:rsidRDefault="00E95B83" w:rsidP="00C1785B">
      <w:pPr>
        <w:tabs>
          <w:tab w:val="num" w:pos="720"/>
        </w:tabs>
        <w:ind w:left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42ACA">
        <w:rPr>
          <w:rFonts w:ascii="Traditional Arabic" w:hAnsi="Traditional Arabic" w:cs="Traditional Arabic" w:hint="cs"/>
          <w:sz w:val="28"/>
          <w:szCs w:val="28"/>
          <w:rtl/>
        </w:rPr>
        <w:t>يتضمن التقرير</w:t>
      </w:r>
      <w:r w:rsidR="00242ACA" w:rsidRPr="00242ACA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242ACA" w:rsidRPr="00242ACA" w:rsidRDefault="00242ACA" w:rsidP="001D2916">
      <w:pPr>
        <w:tabs>
          <w:tab w:val="num" w:pos="720"/>
        </w:tabs>
        <w:spacing w:line="240" w:lineRule="auto"/>
        <w:ind w:left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42ACA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7B551C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>مقدمة تعريفية عن الأداة وأهمي</w:t>
      </w:r>
      <w:r w:rsidR="007B551C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ة 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>استخدامها في التعليم الجامعي</w:t>
      </w:r>
      <w:r w:rsidRPr="00242AC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42ACA" w:rsidRPr="00242ACA" w:rsidRDefault="00242ACA" w:rsidP="001D2916">
      <w:pPr>
        <w:tabs>
          <w:tab w:val="num" w:pos="720"/>
        </w:tabs>
        <w:spacing w:line="240" w:lineRule="auto"/>
        <w:ind w:left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الإجراءات التي تمت </w:t>
      </w:r>
      <w:r w:rsidR="001D2916">
        <w:rPr>
          <w:rFonts w:ascii="Traditional Arabic" w:hAnsi="Traditional Arabic" w:cs="Traditional Arabic" w:hint="cs"/>
          <w:sz w:val="28"/>
          <w:szCs w:val="28"/>
          <w:rtl/>
        </w:rPr>
        <w:t>عند</w:t>
      </w:r>
      <w:r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 تطبيق</w:t>
      </w:r>
      <w:r w:rsidR="001D2916">
        <w:rPr>
          <w:rFonts w:ascii="Traditional Arabic" w:hAnsi="Traditional Arabic" w:cs="Traditional Arabic" w:hint="cs"/>
          <w:sz w:val="28"/>
          <w:szCs w:val="28"/>
          <w:rtl/>
        </w:rPr>
        <w:t xml:space="preserve"> الأداة </w:t>
      </w:r>
      <w:r w:rsidRPr="00242ACA">
        <w:rPr>
          <w:rFonts w:ascii="Traditional Arabic" w:hAnsi="Traditional Arabic" w:cs="Traditional Arabic" w:hint="cs"/>
          <w:sz w:val="28"/>
          <w:szCs w:val="28"/>
          <w:rtl/>
        </w:rPr>
        <w:t>في جامعة الملك سعود.</w:t>
      </w:r>
    </w:p>
    <w:p w:rsidR="00242ACA" w:rsidRPr="00242ACA" w:rsidRDefault="00242ACA" w:rsidP="006031A6">
      <w:pPr>
        <w:tabs>
          <w:tab w:val="num" w:pos="720"/>
        </w:tabs>
        <w:spacing w:line="240" w:lineRule="auto"/>
        <w:ind w:left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7B551C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عرض 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مجمل 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نتائج </w:t>
      </w:r>
      <w:r w:rsidR="007B551C" w:rsidRPr="00242ACA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>لدراسة</w:t>
      </w:r>
      <w:r w:rsidRPr="00242AC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95B83" w:rsidRPr="00242ACA" w:rsidRDefault="00242ACA" w:rsidP="006031A6">
      <w:pPr>
        <w:tabs>
          <w:tab w:val="num" w:pos="720"/>
        </w:tabs>
        <w:spacing w:line="240" w:lineRule="auto"/>
        <w:ind w:left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توصيات 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 xml:space="preserve">الخمس </w:t>
      </w:r>
      <w:r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التي </w:t>
      </w:r>
      <w:r w:rsidR="007B551C" w:rsidRPr="00242ACA">
        <w:rPr>
          <w:rFonts w:ascii="Traditional Arabic" w:hAnsi="Traditional Arabic" w:cs="Traditional Arabic" w:hint="cs"/>
          <w:sz w:val="28"/>
          <w:szCs w:val="28"/>
          <w:rtl/>
        </w:rPr>
        <w:t xml:space="preserve">لها الأولوية بناء على نتائج الدراسة </w:t>
      </w:r>
      <w:r w:rsidR="00E95B83" w:rsidRPr="00242ACA">
        <w:rPr>
          <w:rFonts w:ascii="Traditional Arabic" w:hAnsi="Traditional Arabic" w:cs="Traditional Arabic" w:hint="cs"/>
          <w:sz w:val="28"/>
          <w:szCs w:val="28"/>
          <w:rtl/>
        </w:rPr>
        <w:t>لتحسين العملية التعليمية.</w:t>
      </w:r>
    </w:p>
    <w:p w:rsidR="0026235D" w:rsidRPr="00E95B83" w:rsidRDefault="00E95B83" w:rsidP="00E95B83">
      <w:pPr>
        <w:tabs>
          <w:tab w:val="num" w:pos="72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5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مقدمة:</w:t>
      </w:r>
    </w:p>
    <w:p w:rsidR="000E03BF" w:rsidRPr="008B349F" w:rsidRDefault="00DF5A77" w:rsidP="00B8482C">
      <w:pPr>
        <w:tabs>
          <w:tab w:val="num" w:pos="720"/>
        </w:tabs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قام مركز التميز في التعلم والتعليم بإجراء دراسة علمية بالاتفاق مع المركز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الوطني</w:t>
      </w:r>
      <w:r w:rsidR="0077791F">
        <w:rPr>
          <w:rFonts w:ascii="Traditional Arabic" w:hAnsi="Traditional Arabic" w:cs="Traditional Arabic"/>
          <w:sz w:val="28"/>
          <w:szCs w:val="28"/>
          <w:rtl/>
        </w:rPr>
        <w:t xml:space="preserve"> ال</w:t>
      </w:r>
      <w:r w:rsidR="0077791F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مريكي </w:t>
      </w:r>
      <w:r w:rsidR="00B8482C">
        <w:rPr>
          <w:rFonts w:ascii="Traditional Arabic" w:hAnsi="Traditional Arabic" w:cs="Traditional Arabic" w:hint="cs"/>
          <w:sz w:val="28"/>
          <w:szCs w:val="28"/>
          <w:rtl/>
        </w:rPr>
        <w:t>لتطبيق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الاستبانة 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>الدولية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لإشراك 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B349F">
        <w:rPr>
          <w:rFonts w:ascii="Traditional Arabic" w:hAnsi="Traditional Arabic" w:cs="Traditional Arabic"/>
          <w:sz w:val="28"/>
          <w:szCs w:val="28"/>
        </w:rPr>
        <w:t>(NSSE)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352DDD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تقيس مدى مشاركة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="00F63523">
        <w:rPr>
          <w:rFonts w:ascii="Traditional Arabic" w:hAnsi="Traditional Arabic" w:cs="Traditional Arabic"/>
          <w:sz w:val="28"/>
          <w:szCs w:val="28"/>
          <w:rtl/>
        </w:rPr>
        <w:t xml:space="preserve"> في العملية التعليمية وأنشطته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8B349F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من </w:t>
      </w:r>
      <w:r w:rsidR="00352DDD">
        <w:rPr>
          <w:rFonts w:ascii="Traditional Arabic" w:hAnsi="Traditional Arabic" w:cs="Traditional Arabic" w:hint="cs"/>
          <w:sz w:val="28"/>
          <w:szCs w:val="28"/>
          <w:rtl/>
        </w:rPr>
        <w:t>ناحيتين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: الوقت والجهد الذي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يبذله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B349F" w:rsidRPr="008B349F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="008B349F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في دراسته</w:t>
      </w:r>
      <w:r w:rsidR="008B349F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والأنشطة التعليمية المتعلقة بها، ومدى قيام الجامعة بتوفير المصادر وتكييف برامجها وخططها لإتاحة الفرصة لإشراك </w:t>
      </w:r>
      <w:r w:rsidR="008B349F" w:rsidRPr="008B349F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="008B349F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في الأنشطة التعليمية المختلفة. 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تُعدّ استبانة </w:t>
      </w:r>
      <w:r w:rsidR="00BE7FC5" w:rsidRPr="008B349F">
        <w:rPr>
          <w:rFonts w:ascii="Traditional Arabic" w:hAnsi="Traditional Arabic" w:cs="Traditional Arabic"/>
          <w:sz w:val="28"/>
          <w:szCs w:val="28"/>
        </w:rPr>
        <w:t xml:space="preserve">NSSE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2DDD">
        <w:rPr>
          <w:rFonts w:ascii="Traditional Arabic" w:hAnsi="Traditional Arabic" w:cs="Traditional Arabic" w:hint="cs"/>
          <w:sz w:val="28"/>
          <w:szCs w:val="28"/>
          <w:rtl/>
        </w:rPr>
        <w:t xml:space="preserve">من الاستبانات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الأكثر دقّة لما مرّت به من مراحل من المراجعات والتجريب والاعتماد؛ مما جعلها أداة فاعلة في تحسين نظام التعليم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الجامعي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والمعيار الأوسع انتشاراً في تقويم أحد أهم محاور التعليم الجامعي.</w:t>
      </w:r>
      <w:r w:rsidR="00F63523" w:rsidRPr="00F6352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يتراوح عدد المؤسسات التعليمية التي تُطبق الأداة سنوياً مابين 580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 xml:space="preserve"> إلى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770 مؤسسة تعليمية.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منذ عام 2000 م وحتى الآن، شارك أكثر من 1500 جامعة وكلية في تطبيق الاستبانة على طلبتها وشارك أكثر من 3.5 مليون طالب وطالبة </w:t>
      </w:r>
      <w:r w:rsidR="0077791F">
        <w:rPr>
          <w:rFonts w:ascii="Traditional Arabic" w:hAnsi="Traditional Arabic" w:cs="Traditional Arabic" w:hint="cs"/>
          <w:sz w:val="28"/>
          <w:szCs w:val="28"/>
          <w:rtl/>
        </w:rPr>
        <w:t xml:space="preserve">من مرحلة البكالوريوس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في تعبئة الاستبانة. وتقوم الجامعات بتطبيق الاستبانة بشكل دوري مما يساهم في اتخاذ القرارات التي تصب في مصلحة تطوير وتحسين العملية التعليمية. 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D459ED" w:rsidRPr="008B349F">
        <w:rPr>
          <w:rFonts w:ascii="Traditional Arabic" w:hAnsi="Traditional Arabic" w:cs="Traditional Arabic"/>
          <w:sz w:val="28"/>
          <w:szCs w:val="28"/>
          <w:rtl/>
        </w:rPr>
        <w:t xml:space="preserve">تتضمن الأداة 40 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>بندا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D459ED" w:rsidRPr="008B349F">
        <w:rPr>
          <w:rFonts w:ascii="Traditional Arabic" w:hAnsi="Traditional Arabic" w:cs="Traditional Arabic"/>
          <w:sz w:val="28"/>
          <w:szCs w:val="28"/>
          <w:rtl/>
        </w:rPr>
        <w:t xml:space="preserve"> موزعة على خمسة محاور: (</w:t>
      </w:r>
      <w:r w:rsidR="00D459ED" w:rsidRPr="00B8482C">
        <w:rPr>
          <w:rFonts w:ascii="Traditional Arabic" w:hAnsi="Traditional Arabic" w:cs="Traditional Arabic"/>
          <w:b/>
          <w:bCs/>
          <w:sz w:val="28"/>
          <w:szCs w:val="28"/>
          <w:rtl/>
        </w:rPr>
        <w:t>مستوى التحدي الأكاديمي، التعلم التعاوني والنشط، التفاعل بين الطلبة وأعضاء هيئة التدريس، تعزيز الخبرات التعليمية، البيئة الجامعية الداعمة</w:t>
      </w:r>
      <w:r w:rsidR="00D459ED" w:rsidRPr="008B349F">
        <w:rPr>
          <w:rFonts w:ascii="Traditional Arabic" w:hAnsi="Traditional Arabic" w:cs="Traditional Arabic"/>
          <w:sz w:val="28"/>
          <w:szCs w:val="28"/>
        </w:rPr>
        <w:t>(</w:t>
      </w:r>
      <w:r w:rsidR="00D459ED" w:rsidRPr="008B349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95B83" w:rsidRPr="00E95B83" w:rsidRDefault="00E95B83" w:rsidP="00F63523">
      <w:pPr>
        <w:tabs>
          <w:tab w:val="num" w:pos="72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5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الإجراءات:</w:t>
      </w:r>
    </w:p>
    <w:p w:rsidR="000E03BF" w:rsidRPr="008B349F" w:rsidRDefault="008B349F" w:rsidP="006031A6">
      <w:pPr>
        <w:tabs>
          <w:tab w:val="num" w:pos="720"/>
        </w:tabs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قام مركز التميز في التعلم والتعليم </w:t>
      </w:r>
      <w:r w:rsidR="00DF5A77" w:rsidRPr="008B349F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ترجمة الاستبانة إلى اللغة العربية ومواءمة 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>البنود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بما يناسب البيئة المحلية دون إخلال بمحاور الاستبانة وأهدافها. وقد تم تحكيم الاستبانة 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>على مراحل 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من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 xml:space="preserve"> قِبَل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مجموعات من المختصين 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 xml:space="preserve">في الترجمة 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>وفي القياس وفي التعليم</w:t>
      </w:r>
      <w:r w:rsidR="00D459ED">
        <w:rPr>
          <w:rFonts w:ascii="Traditional Arabic" w:hAnsi="Traditional Arabic" w:cs="Traditional Arabic" w:hint="cs"/>
          <w:sz w:val="28"/>
          <w:szCs w:val="28"/>
          <w:rtl/>
        </w:rPr>
        <w:t xml:space="preserve"> ومن تخصصات مختلفة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من جامعة الملك سعود. وتم إجراء معاملات الصدق والثبات الإحصائية اللازمة من قبل مختصين في المجال. ولتحقيق أكبر عدد من مشاركة الطلاب والطالبات، 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قام المركز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باستهداف </w:t>
      </w:r>
      <w:r w:rsidR="00DF5A77" w:rsidRPr="008B349F">
        <w:rPr>
          <w:rFonts w:ascii="Traditional Arabic" w:hAnsi="Traditional Arabic" w:cs="Traditional Arabic" w:hint="cs"/>
          <w:sz w:val="28"/>
          <w:szCs w:val="28"/>
          <w:rtl/>
        </w:rPr>
        <w:t>الطلبة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في الكليات المختلفة والوصول إليهم في المحاضرات </w:t>
      </w:r>
      <w:r w:rsidR="006031A6">
        <w:rPr>
          <w:rFonts w:ascii="Traditional Arabic" w:hAnsi="Traditional Arabic" w:cs="Traditional Arabic" w:hint="cs"/>
          <w:sz w:val="28"/>
          <w:szCs w:val="28"/>
          <w:rtl/>
        </w:rPr>
        <w:t>والقاعات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الدراسية وذلك لتحقيق مشاركة أكبر عدد من الطلاب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والطالبات لضمان تمثيل جميع الكليات والتطبيق على المستويات الأولية والمتقدمة.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تم التأكيد على عدم كتابة الاسم أو الرقم الجامعي وأن تعبئة الاستبانة ليس لها تأثير بأي حال من الأحوال على التحصيل الدراسي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. 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تم تطبيق الاستبانة </w:t>
      </w:r>
      <w:r w:rsidR="00352DDD">
        <w:rPr>
          <w:rFonts w:ascii="Traditional Arabic" w:hAnsi="Traditional Arabic" w:cs="Traditional Arabic"/>
          <w:sz w:val="28"/>
          <w:szCs w:val="28"/>
          <w:rtl/>
        </w:rPr>
        <w:t>على طلاب و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طالبات </w:t>
      </w:r>
      <w:r w:rsidR="00352DDD">
        <w:rPr>
          <w:rFonts w:ascii="Traditional Arabic" w:hAnsi="Traditional Arabic" w:cs="Traditional Arabic" w:hint="cs"/>
          <w:sz w:val="28"/>
          <w:szCs w:val="28"/>
          <w:rtl/>
        </w:rPr>
        <w:t xml:space="preserve">البكالوريوس </w:t>
      </w:r>
      <w:r w:rsidR="003A02E2" w:rsidRPr="003A02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3A02E2" w:rsidRPr="003A02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A02E2" w:rsidRPr="003A02E2">
        <w:rPr>
          <w:rFonts w:ascii="Traditional Arabic" w:hAnsi="Traditional Arabic" w:cs="Traditional Arabic" w:hint="cs"/>
          <w:sz w:val="28"/>
          <w:szCs w:val="28"/>
          <w:rtl/>
        </w:rPr>
        <w:t>جامعة</w:t>
      </w:r>
      <w:r w:rsidR="003A02E2" w:rsidRPr="003A02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A02E2" w:rsidRPr="003A02E2">
        <w:rPr>
          <w:rFonts w:ascii="Traditional Arabic" w:hAnsi="Traditional Arabic" w:cs="Traditional Arabic" w:hint="cs"/>
          <w:sz w:val="28"/>
          <w:szCs w:val="28"/>
          <w:rtl/>
        </w:rPr>
        <w:t>الملك</w:t>
      </w:r>
      <w:r w:rsidR="003A02E2" w:rsidRPr="003A02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A02E2" w:rsidRPr="003A02E2">
        <w:rPr>
          <w:rFonts w:ascii="Traditional Arabic" w:hAnsi="Traditional Arabic" w:cs="Traditional Arabic" w:hint="cs"/>
          <w:sz w:val="28"/>
          <w:szCs w:val="28"/>
          <w:rtl/>
        </w:rPr>
        <w:t>سعود</w:t>
      </w:r>
      <w:r w:rsidR="003A02E2" w:rsidRPr="003A02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في الفصل الدراسي ال</w:t>
      </w:r>
      <w:r w:rsidR="003A02E2">
        <w:rPr>
          <w:rFonts w:ascii="Traditional Arabic" w:hAnsi="Traditional Arabic" w:cs="Traditional Arabic"/>
          <w:sz w:val="28"/>
          <w:szCs w:val="28"/>
          <w:rtl/>
        </w:rPr>
        <w:t>ثاني للعام الدراسي 1433-1434 هـ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>, وب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استهداف أكثر من 3500 طالب وطالبة حسب توزيعهم في المقررات الدراسية، وقد بلغت العينة الفعلية التي قامت بتعبئة الاستبانة تقريبا 2100 طالب وطالبة بنسبة مشاركة 60% تقريبا</w:t>
      </w:r>
      <w:r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(تصل نسب المشاركة العالمية 30%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؛ 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وذلك لأن التطبيق يتم غالبا</w:t>
      </w:r>
      <w:r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 xml:space="preserve"> عن طريق الانترنت)، وتم استبعاد جزء بسيط منها لعدم اكتماله أو لغياب بعض المعلومات الأساسية مثل مستوى الطالب وغير ذلك ليصبح المجموع 1900  طالب وطالبة تقريبا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BE7FC5" w:rsidRPr="008B349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95B83" w:rsidRPr="00E95B83" w:rsidRDefault="00E95B83" w:rsidP="006B6DC8">
      <w:pPr>
        <w:tabs>
          <w:tab w:val="num" w:pos="72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5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النتائج:</w:t>
      </w:r>
    </w:p>
    <w:p w:rsidR="003F6412" w:rsidRPr="008B349F" w:rsidRDefault="003F6412" w:rsidP="006B6DC8">
      <w:pPr>
        <w:tabs>
          <w:tab w:val="num" w:pos="720"/>
        </w:tabs>
        <w:jc w:val="both"/>
        <w:rPr>
          <w:rFonts w:ascii="Traditional Arabic" w:hAnsi="Traditional Arabic" w:cs="Traditional Arabic"/>
          <w:sz w:val="28"/>
          <w:szCs w:val="28"/>
        </w:rPr>
      </w:pPr>
      <w:r w:rsidRPr="008B349F">
        <w:rPr>
          <w:rFonts w:ascii="Traditional Arabic" w:hAnsi="Traditional Arabic" w:cs="Traditional Arabic" w:hint="cs"/>
          <w:sz w:val="28"/>
          <w:szCs w:val="28"/>
          <w:rtl/>
        </w:rPr>
        <w:t>توصل المركز بعد تحليل الب</w:t>
      </w:r>
      <w:r w:rsidR="008B349F">
        <w:rPr>
          <w:rFonts w:ascii="Traditional Arabic" w:hAnsi="Traditional Arabic" w:cs="Traditional Arabic" w:hint="cs"/>
          <w:sz w:val="28"/>
          <w:szCs w:val="28"/>
          <w:rtl/>
        </w:rPr>
        <w:t>يانات إلى عدد من النتائج ذات الأ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همية القيمة التي تضيف إلى العملية التعليمية في الجامعة تطويراً نوعياً</w:t>
      </w:r>
      <w:r w:rsidR="008B349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كما توصل إلى مقارنات عالمية مع الجامعات الأمريكية بينت بشكل واضح تصنيفاً لجامعة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الملك سعود في المجال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تعليمي</w:t>
      </w:r>
      <w:r w:rsidR="008B349F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مما يفسح المجال لإعداد خطط تنفيذية للعمل على تطوير إجرائي للجوانب ذات الأولوية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وفق نتائج تلك الدراسة.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من خلال قراءة قيم المتوسّطات لاستجابات طلبة جامعة الملك سعود ومقارنتها مع قيم المتوسّطات لاستجابات طلبة الجامعات الأمريكية, </w:t>
      </w:r>
      <w:r w:rsidR="00F63523">
        <w:rPr>
          <w:rFonts w:ascii="Traditional Arabic" w:hAnsi="Traditional Arabic" w:cs="Traditional Arabic" w:hint="cs"/>
          <w:sz w:val="28"/>
          <w:szCs w:val="28"/>
          <w:rtl/>
        </w:rPr>
        <w:t>توصلت الدراسة إلى نتائج إجمالية كم</w:t>
      </w:r>
      <w:r w:rsidR="00CF5F9A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F5F9A">
        <w:rPr>
          <w:rFonts w:ascii="Traditional Arabic" w:hAnsi="Traditional Arabic" w:cs="Traditional Arabic" w:hint="cs"/>
          <w:sz w:val="28"/>
          <w:szCs w:val="28"/>
          <w:rtl/>
        </w:rPr>
        <w:t>يلي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0E03BF" w:rsidRPr="008B349F" w:rsidRDefault="00BE7FC5" w:rsidP="003A02E2">
      <w:pPr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>تمايز كبير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لصالح الجامعات الأمريكية كما تعكسه 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>(20%)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بنود الأداة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 xml:space="preserve"> (انظر التوصيات المرفقة)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0E03BF" w:rsidRDefault="00BE7FC5" w:rsidP="00620822">
      <w:pPr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>تقارب بين المجموعتين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 في مستوى </w:t>
      </w:r>
      <w:r w:rsidR="003A02E2" w:rsidRPr="008B349F">
        <w:rPr>
          <w:rFonts w:ascii="Traditional Arabic" w:hAnsi="Traditional Arabic" w:cs="Traditional Arabic"/>
          <w:sz w:val="28"/>
          <w:szCs w:val="28"/>
          <w:rtl/>
        </w:rPr>
        <w:t>الممارسات التعليمية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مع تمايز نسبي لصالح الجامعات الأمريكية, كما تعكسه </w:t>
      </w:r>
      <w:r w:rsidR="0004196A" w:rsidRPr="008B349F">
        <w:rPr>
          <w:rFonts w:ascii="Traditional Arabic" w:hAnsi="Traditional Arabic" w:cs="Traditional Arabic"/>
          <w:sz w:val="28"/>
          <w:szCs w:val="28"/>
          <w:rtl/>
        </w:rPr>
        <w:t>(70%)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من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بنود الأداة ومحاورها. 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>وذلك مثل: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>حفظ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 xml:space="preserve">الحقائق والأفكار الواردة في 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426849" w:rsidRPr="00426849">
        <w:rPr>
          <w:rFonts w:ascii="Traditional Arabic" w:hAnsi="Traditional Arabic" w:cs="Traditional Arabic"/>
          <w:sz w:val="28"/>
          <w:szCs w:val="28"/>
          <w:rtl/>
        </w:rPr>
        <w:t>مقررا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 xml:space="preserve">ت، 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 xml:space="preserve">والقيام بعروض 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>تقديمية في قاعة الدراسة</w:t>
      </w:r>
      <w:r w:rsidR="0062082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26849" w:rsidRPr="00426849">
        <w:rPr>
          <w:rFonts w:ascii="Traditional Arabic" w:hAnsi="Traditional Arabic" w:cs="Traditional Arabic"/>
          <w:sz w:val="28"/>
          <w:szCs w:val="28"/>
          <w:rtl/>
        </w:rPr>
        <w:t>‌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 xml:space="preserve">مناقشة 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>درجات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 xml:space="preserve">أو 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>واجبات مع أستاذ</w:t>
      </w:r>
      <w:r w:rsidR="00426849" w:rsidRPr="00426849">
        <w:rPr>
          <w:rFonts w:ascii="Traditional Arabic" w:hAnsi="Traditional Arabic" w:cs="Traditional Arabic" w:hint="cs"/>
          <w:sz w:val="28"/>
          <w:szCs w:val="28"/>
          <w:rtl/>
        </w:rPr>
        <w:t xml:space="preserve"> المادة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>، و</w:t>
      </w:r>
      <w:r w:rsidR="00426849" w:rsidRPr="00133F26">
        <w:rPr>
          <w:rFonts w:ascii="Traditional Arabic" w:hAnsi="Traditional Arabic" w:cs="Traditional Arabic"/>
          <w:sz w:val="28"/>
          <w:szCs w:val="28"/>
          <w:rtl/>
        </w:rPr>
        <w:t xml:space="preserve">التحضير </w:t>
      </w:r>
      <w:r w:rsidR="00620822">
        <w:rPr>
          <w:rFonts w:ascii="Traditional Arabic" w:hAnsi="Traditional Arabic" w:cs="Traditional Arabic" w:hint="cs"/>
          <w:sz w:val="28"/>
          <w:szCs w:val="28"/>
          <w:rtl/>
        </w:rPr>
        <w:t>للمحاضرات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911FD" w:rsidRPr="00133F26" w:rsidRDefault="00BE7FC5" w:rsidP="00133F26">
      <w:pPr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تمايز في بعض الممارسات التعليمية لصالح جامعة الملك سعود كما تعكسه </w:t>
      </w:r>
      <w:r w:rsidR="0004196A" w:rsidRPr="008B349F">
        <w:rPr>
          <w:rFonts w:ascii="Traditional Arabic" w:hAnsi="Traditional Arabic" w:cs="Traditional Arabic"/>
          <w:sz w:val="28"/>
          <w:szCs w:val="28"/>
          <w:rtl/>
        </w:rPr>
        <w:t>(10%)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من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بنود الأداة. </w:t>
      </w:r>
      <w:r w:rsidR="00133F26">
        <w:rPr>
          <w:rFonts w:ascii="Traditional Arabic" w:hAnsi="Traditional Arabic" w:cs="Traditional Arabic" w:hint="cs"/>
          <w:sz w:val="28"/>
          <w:szCs w:val="28"/>
          <w:rtl/>
        </w:rPr>
        <w:t xml:space="preserve">وذلك مثل: </w:t>
      </w:r>
      <w:r w:rsidR="00133F26" w:rsidRPr="00133F26">
        <w:rPr>
          <w:rFonts w:ascii="Traditional Arabic" w:hAnsi="Traditional Arabic" w:cs="Traditional Arabic" w:hint="cs"/>
          <w:sz w:val="28"/>
          <w:szCs w:val="28"/>
          <w:rtl/>
        </w:rPr>
        <w:t>كثرة</w:t>
      </w:r>
      <w:r w:rsidR="000911FD" w:rsidRPr="000911FD">
        <w:rPr>
          <w:rFonts w:ascii="Traditional Arabic" w:hAnsi="Traditional Arabic" w:cs="Traditional Arabic"/>
          <w:sz w:val="28"/>
          <w:szCs w:val="28"/>
          <w:rtl/>
        </w:rPr>
        <w:t xml:space="preserve"> التقارير والأوراق البحثية التي </w:t>
      </w:r>
      <w:r w:rsidR="00133F26" w:rsidRPr="00133F26">
        <w:rPr>
          <w:rFonts w:ascii="Traditional Arabic" w:hAnsi="Traditional Arabic" w:cs="Traditional Arabic" w:hint="cs"/>
          <w:sz w:val="28"/>
          <w:szCs w:val="28"/>
          <w:rtl/>
        </w:rPr>
        <w:t xml:space="preserve">يكتبها الطلبة، </w:t>
      </w:r>
      <w:r w:rsidR="00133F26" w:rsidRPr="00133F26">
        <w:rPr>
          <w:rFonts w:ascii="Traditional Arabic" w:hAnsi="Traditional Arabic" w:cs="Traditional Arabic"/>
          <w:sz w:val="28"/>
          <w:szCs w:val="28"/>
          <w:rtl/>
        </w:rPr>
        <w:t>عمل</w:t>
      </w:r>
      <w:r w:rsidR="00133F26" w:rsidRPr="00133F26">
        <w:rPr>
          <w:rFonts w:ascii="Traditional Arabic" w:hAnsi="Traditional Arabic" w:cs="Traditional Arabic" w:hint="cs"/>
          <w:sz w:val="28"/>
          <w:szCs w:val="28"/>
          <w:rtl/>
        </w:rPr>
        <w:t xml:space="preserve">هم </w:t>
      </w:r>
      <w:r w:rsidR="00133F26" w:rsidRPr="00133F26">
        <w:rPr>
          <w:rFonts w:ascii="Traditional Arabic" w:hAnsi="Traditional Arabic" w:cs="Traditional Arabic"/>
          <w:sz w:val="28"/>
          <w:szCs w:val="28"/>
          <w:rtl/>
        </w:rPr>
        <w:t>في مشاريع مع طلاب آخرين</w:t>
      </w:r>
      <w:r w:rsidR="00426849">
        <w:rPr>
          <w:rFonts w:ascii="Traditional Arabic" w:hAnsi="Traditional Arabic" w:cs="Traditional Arabic" w:hint="cs"/>
          <w:sz w:val="28"/>
          <w:szCs w:val="28"/>
          <w:rtl/>
        </w:rPr>
        <w:t xml:space="preserve"> داخل القاعة</w:t>
      </w:r>
      <w:r w:rsidR="00133F26" w:rsidRPr="00133F26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133F26" w:rsidRPr="00133F26">
        <w:rPr>
          <w:rFonts w:ascii="Traditional Arabic" w:hAnsi="Traditional Arabic" w:cs="Traditional Arabic"/>
          <w:sz w:val="28"/>
          <w:szCs w:val="28"/>
          <w:rtl/>
        </w:rPr>
        <w:t>‌</w:t>
      </w:r>
      <w:r w:rsidR="00133F26" w:rsidRPr="00133F26">
        <w:rPr>
          <w:rFonts w:ascii="Traditional Arabic" w:hAnsi="Traditional Arabic" w:cs="Traditional Arabic" w:hint="cs"/>
          <w:sz w:val="28"/>
          <w:szCs w:val="28"/>
          <w:rtl/>
        </w:rPr>
        <w:t xml:space="preserve">قيامهم </w:t>
      </w:r>
      <w:r w:rsidR="00133F26" w:rsidRPr="00133F26">
        <w:rPr>
          <w:rFonts w:ascii="Traditional Arabic" w:hAnsi="Traditional Arabic" w:cs="Traditional Arabic"/>
          <w:sz w:val="28"/>
          <w:szCs w:val="28"/>
          <w:rtl/>
        </w:rPr>
        <w:t xml:space="preserve"> بتدريب أو تعليم طلاب آخرين</w:t>
      </w:r>
      <w:r w:rsidR="000911FD" w:rsidRPr="000911F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95B83" w:rsidRPr="00E95B83" w:rsidRDefault="00E95B83" w:rsidP="00E95B83">
      <w:pPr>
        <w:tabs>
          <w:tab w:val="num" w:pos="72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5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التوصيات:</w:t>
      </w:r>
    </w:p>
    <w:p w:rsidR="003F6412" w:rsidRPr="008B349F" w:rsidRDefault="00F63523" w:rsidP="00777ECC">
      <w:pPr>
        <w:tabs>
          <w:tab w:val="num" w:pos="720"/>
        </w:tabs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على الرغم من </w:t>
      </w:r>
      <w:r w:rsidR="000911FD">
        <w:rPr>
          <w:rFonts w:ascii="Traditional Arabic" w:hAnsi="Traditional Arabic" w:cs="Traditional Arabic" w:hint="cs"/>
          <w:sz w:val="28"/>
          <w:szCs w:val="28"/>
          <w:rtl/>
        </w:rPr>
        <w:t>تنوّع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النتائج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التي انتهت إليها الدراسة إلا أنها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أظهرت على وجه الخصوص أن </w:t>
      </w:r>
      <w:r w:rsidR="00620822">
        <w:rPr>
          <w:rFonts w:ascii="Traditional Arabic" w:hAnsi="Traditional Arabic" w:cs="Traditional Arabic" w:hint="cs"/>
          <w:sz w:val="28"/>
          <w:szCs w:val="28"/>
          <w:rtl/>
        </w:rPr>
        <w:t>خمس</w:t>
      </w:r>
      <w:r w:rsidR="003A02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نتائج</w:t>
      </w:r>
      <w:r w:rsidR="006B6DC8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تمثل مصدراً كبيراً للفروق 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 xml:space="preserve">لدى طلبة </w:t>
      </w:r>
      <w:r w:rsidR="00777ECC">
        <w:rPr>
          <w:rFonts w:ascii="Traditional Arabic" w:hAnsi="Traditional Arabic" w:cs="Traditional Arabic" w:hint="cs"/>
          <w:sz w:val="28"/>
          <w:szCs w:val="28"/>
          <w:rtl/>
        </w:rPr>
        <w:t xml:space="preserve">البكالوريوس في </w:t>
      </w:r>
      <w:r w:rsidR="00E95B83" w:rsidRPr="008B349F">
        <w:rPr>
          <w:rFonts w:ascii="Traditional Arabic" w:hAnsi="Traditional Arabic" w:cs="Traditional Arabic" w:hint="cs"/>
          <w:sz w:val="28"/>
          <w:szCs w:val="28"/>
          <w:rtl/>
        </w:rPr>
        <w:t>جامعة الملك سعود</w:t>
      </w:r>
      <w:r w:rsidR="00E95B83" w:rsidRPr="006B6D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سواء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 xml:space="preserve">بمقارنة استجاباتهم </w:t>
      </w:r>
      <w:r w:rsidR="006B6DC8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بين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بنود</w:t>
      </w:r>
      <w:r w:rsidR="006B6DC8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الأداة نفسها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 أو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مقارنة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 xml:space="preserve"> استجاباتهم مع استجابات طلبة</w:t>
      </w:r>
      <w:r w:rsidR="006B6DC8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الجامعات العالمية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861BB6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B349F">
        <w:rPr>
          <w:rFonts w:ascii="Traditional Arabic" w:hAnsi="Traditional Arabic" w:cs="Traditional Arabic" w:hint="cs"/>
          <w:sz w:val="28"/>
          <w:szCs w:val="28"/>
          <w:rtl/>
        </w:rPr>
        <w:t>لذا ف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 xml:space="preserve">إن تلك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20822">
        <w:rPr>
          <w:rFonts w:ascii="Traditional Arabic" w:hAnsi="Traditional Arabic" w:cs="Traditional Arabic" w:hint="cs"/>
          <w:sz w:val="28"/>
          <w:szCs w:val="28"/>
          <w:rtl/>
        </w:rPr>
        <w:t>الخمس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 xml:space="preserve">تتطلب </w:t>
      </w:r>
      <w:r w:rsidR="0004196A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الأولوية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في بذل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 xml:space="preserve"> مزيد من الجهود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تحسينها من أجل 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تحقيق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>تطلعات بالتميز في الممارسات التعليمية</w:t>
      </w:r>
      <w:r w:rsidR="00E95B8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سواء من قبل الجهات التنفيذية المعنية بالعملية 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التعليمية في الجامعة والكليات والأقسام الأكاديمية أو من قبل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أعضاء هيئة التدريس والطلبة، و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تلك </w:t>
      </w:r>
      <w:r w:rsidR="001E69DE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20822">
        <w:rPr>
          <w:rFonts w:ascii="Traditional Arabic" w:hAnsi="Traditional Arabic" w:cs="Traditional Arabic" w:hint="cs"/>
          <w:sz w:val="28"/>
          <w:szCs w:val="28"/>
          <w:rtl/>
        </w:rPr>
        <w:t>الخمس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>تمث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ل </w:t>
      </w:r>
      <w:r w:rsidR="00CC7392">
        <w:rPr>
          <w:rFonts w:ascii="Traditional Arabic" w:hAnsi="Traditional Arabic" w:cs="Traditional Arabic" w:hint="cs"/>
          <w:sz w:val="28"/>
          <w:szCs w:val="28"/>
          <w:rtl/>
        </w:rPr>
        <w:t xml:space="preserve">أهم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 xml:space="preserve">توصيات </w:t>
      </w:r>
      <w:r w:rsidR="00CC7392">
        <w:rPr>
          <w:rFonts w:ascii="Traditional Arabic" w:hAnsi="Traditional Arabic" w:cs="Traditional Arabic" w:hint="cs"/>
          <w:sz w:val="28"/>
          <w:szCs w:val="28"/>
          <w:rtl/>
        </w:rPr>
        <w:t xml:space="preserve">الدراسة, </w:t>
      </w:r>
      <w:r w:rsidR="006B6DC8">
        <w:rPr>
          <w:rFonts w:ascii="Traditional Arabic" w:hAnsi="Traditional Arabic" w:cs="Traditional Arabic" w:hint="cs"/>
          <w:sz w:val="28"/>
          <w:szCs w:val="28"/>
          <w:rtl/>
        </w:rPr>
        <w:t>وهي كما يلي</w:t>
      </w:r>
      <w:r w:rsidR="003F6412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:    </w:t>
      </w:r>
    </w:p>
    <w:p w:rsidR="000E03BF" w:rsidRPr="008B349F" w:rsidRDefault="00BE7FC5" w:rsidP="00777ECC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ضرورة </w:t>
      </w:r>
      <w:r w:rsidR="00376B63">
        <w:rPr>
          <w:rFonts w:ascii="Traditional Arabic" w:hAnsi="Traditional Arabic" w:cs="Traditional Arabic" w:hint="cs"/>
          <w:sz w:val="28"/>
          <w:szCs w:val="28"/>
          <w:rtl/>
        </w:rPr>
        <w:t>رفع مستوى</w:t>
      </w:r>
      <w:r w:rsidR="00861BB6"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الطلبة </w:t>
      </w:r>
      <w:r w:rsidR="00777ECC" w:rsidRPr="00777EC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77E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>توظيف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>المهارات المرتبطة بالمستويات العليا من التفكير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, مثل الت</w:t>
      </w:r>
      <w:r w:rsidR="00861BB6" w:rsidRPr="008B349F">
        <w:rPr>
          <w:rFonts w:ascii="Traditional Arabic" w:hAnsi="Traditional Arabic" w:cs="Traditional Arabic"/>
          <w:sz w:val="28"/>
          <w:szCs w:val="28"/>
          <w:rtl/>
        </w:rPr>
        <w:t>حليل والتطبيق والتقويم والتركيب</w:t>
      </w:r>
      <w:r w:rsidR="00861BB6" w:rsidRPr="008B349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777ECC" w:rsidRPr="00777E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77ECC">
        <w:rPr>
          <w:rFonts w:ascii="Traditional Arabic" w:hAnsi="Traditional Arabic" w:cs="Traditional Arabic" w:hint="cs"/>
          <w:sz w:val="28"/>
          <w:szCs w:val="28"/>
          <w:rtl/>
        </w:rPr>
        <w:t xml:space="preserve">وتوجيههم وتدريبهم على تلك المهارات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وخاصة طلبة السنوات المتقدمة.</w:t>
      </w:r>
      <w:r w:rsidR="00DF7033"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20822" w:rsidRPr="00620822" w:rsidRDefault="00620822" w:rsidP="00777ECC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ضرورة </w:t>
      </w:r>
      <w:r w:rsidRPr="007D431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تكثيف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>الأنشطة والمهام التعليمية العملية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إجراء تجارب, وممارسة ميدانية, ... </w:t>
      </w:r>
      <w:r w:rsidRPr="00620822">
        <w:rPr>
          <w:rFonts w:ascii="Traditional Arabic" w:hAnsi="Traditional Arabic" w:cs="Traditional Arabic"/>
          <w:sz w:val="28"/>
          <w:szCs w:val="28"/>
          <w:rtl/>
        </w:rPr>
        <w:t>بنوعيها الصفي وغير الصفي, وعدم الاكتفاء بالأعمال الكتابية</w:t>
      </w:r>
      <w:r w:rsidRPr="0062082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620822">
        <w:rPr>
          <w:rFonts w:ascii="Traditional Arabic" w:hAnsi="Traditional Arabic" w:cs="Traditional Arabic"/>
          <w:sz w:val="28"/>
          <w:szCs w:val="28"/>
          <w:rtl/>
        </w:rPr>
        <w:t xml:space="preserve"> وربط متطلبات التقويم في جزء منها بخدمات مجتمعية أو تطوعية. </w:t>
      </w:r>
    </w:p>
    <w:p w:rsidR="00577954" w:rsidRPr="008B349F" w:rsidRDefault="00577954" w:rsidP="00577954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ضرورة التأكيد على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حصول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الطلبة على تغذية راجعة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sz w:val="28"/>
          <w:szCs w:val="28"/>
        </w:rPr>
        <w:t>feedback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شفهية أو مكتوبة من قِبَل عضو هيئة التدريس عن كل مهمة أو ممارسة تعليمية يقوم بها، وخاصة مع طلبة السنوات المتقدمة.</w:t>
      </w:r>
    </w:p>
    <w:p w:rsidR="00620822" w:rsidRPr="007D4313" w:rsidRDefault="00620822" w:rsidP="00777ECC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7D4313">
        <w:rPr>
          <w:rFonts w:ascii="Traditional Arabic" w:hAnsi="Traditional Arabic" w:cs="Traditional Arabic"/>
          <w:sz w:val="28"/>
          <w:szCs w:val="28"/>
          <w:rtl/>
        </w:rPr>
        <w:t xml:space="preserve">ضرورة </w:t>
      </w:r>
      <w:r w:rsidRPr="007D431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تفعيل </w:t>
      </w:r>
      <w:r w:rsidRPr="007D431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دور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الجامعة في دعم الطلبة</w:t>
      </w:r>
      <w:r w:rsidRPr="0062082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208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وإرشادهم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D4313">
        <w:rPr>
          <w:rFonts w:ascii="Traditional Arabic" w:hAnsi="Traditional Arabic" w:cs="Traditional Arabic" w:hint="cs"/>
          <w:sz w:val="28"/>
          <w:szCs w:val="28"/>
          <w:rtl/>
        </w:rPr>
        <w:t>أكاديمياً وتوعيتهم بالإعداد و</w:t>
      </w:r>
      <w:r w:rsidRPr="007D4313">
        <w:rPr>
          <w:rFonts w:ascii="Traditional Arabic" w:hAnsi="Traditional Arabic" w:cs="Traditional Arabic"/>
          <w:sz w:val="28"/>
          <w:szCs w:val="28"/>
          <w:rtl/>
        </w:rPr>
        <w:t>التخطيط لمستقبلهم الوظيفي.</w:t>
      </w:r>
    </w:p>
    <w:p w:rsidR="00620822" w:rsidRPr="008B349F" w:rsidRDefault="00620822" w:rsidP="00577954">
      <w:pPr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ضرورة </w:t>
      </w:r>
      <w:r w:rsidR="00376B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زيادة </w:t>
      </w:r>
      <w:r w:rsidR="00B848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الفرص و</w:t>
      </w:r>
      <w:r w:rsidR="00777E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الوقت المتاح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للطلبة للمناقشة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وطرح الأسئلة </w:t>
      </w:r>
      <w:r w:rsidRPr="00E95B83">
        <w:rPr>
          <w:rFonts w:ascii="Traditional Arabic" w:hAnsi="Traditional Arabic" w:cs="Traditional Arabic"/>
          <w:b/>
          <w:bCs/>
          <w:sz w:val="28"/>
          <w:szCs w:val="28"/>
          <w:rtl/>
        </w:rPr>
        <w:t>(داخل) قاعات الدرس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وتشجيعهم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على ذلك والتجاوب 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>معه</w:t>
      </w:r>
      <w:r>
        <w:rPr>
          <w:rFonts w:ascii="Traditional Arabic" w:hAnsi="Traditional Arabic" w:cs="Traditional Arabic" w:hint="cs"/>
          <w:sz w:val="28"/>
          <w:szCs w:val="28"/>
          <w:rtl/>
        </w:rPr>
        <w:t>م بإيجابية</w:t>
      </w:r>
      <w:r w:rsidRPr="008B349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B349F">
        <w:rPr>
          <w:rFonts w:ascii="Traditional Arabic" w:hAnsi="Traditional Arabic" w:cs="Traditional Arabic"/>
          <w:sz w:val="28"/>
          <w:szCs w:val="28"/>
          <w:rtl/>
        </w:rPr>
        <w:t>وخاصة مع طلبة السنوات المتقدمة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sectPr w:rsidR="00620822" w:rsidRPr="008B349F" w:rsidSect="00B464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F7B"/>
    <w:multiLevelType w:val="hybridMultilevel"/>
    <w:tmpl w:val="E06639CA"/>
    <w:lvl w:ilvl="0" w:tplc="6A7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E5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C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25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81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C0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2A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26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02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76E"/>
    <w:multiLevelType w:val="hybridMultilevel"/>
    <w:tmpl w:val="5ADAE60C"/>
    <w:lvl w:ilvl="0" w:tplc="1024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8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4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8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409C9"/>
    <w:multiLevelType w:val="hybridMultilevel"/>
    <w:tmpl w:val="103AD646"/>
    <w:lvl w:ilvl="0" w:tplc="CB66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8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6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E1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0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0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CC39F8"/>
    <w:multiLevelType w:val="hybridMultilevel"/>
    <w:tmpl w:val="580A028A"/>
    <w:lvl w:ilvl="0" w:tplc="B6EC2E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AB4E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E81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B48BD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89AF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80EA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10C5D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74C9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E362A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4729325F"/>
    <w:multiLevelType w:val="hybridMultilevel"/>
    <w:tmpl w:val="52B6A454"/>
    <w:lvl w:ilvl="0" w:tplc="9C90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7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2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7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3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AF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8A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E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C5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B2539"/>
    <w:multiLevelType w:val="hybridMultilevel"/>
    <w:tmpl w:val="66CC38FE"/>
    <w:lvl w:ilvl="0" w:tplc="CFB4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A1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6B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87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F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63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3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C3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1569F"/>
    <w:multiLevelType w:val="hybridMultilevel"/>
    <w:tmpl w:val="ADE83D6C"/>
    <w:lvl w:ilvl="0" w:tplc="C342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C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8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6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7"/>
    <w:rsid w:val="00017DB1"/>
    <w:rsid w:val="0004196A"/>
    <w:rsid w:val="000911FD"/>
    <w:rsid w:val="000E03BF"/>
    <w:rsid w:val="00133F26"/>
    <w:rsid w:val="001D2916"/>
    <w:rsid w:val="001E69DE"/>
    <w:rsid w:val="00242ACA"/>
    <w:rsid w:val="0026235D"/>
    <w:rsid w:val="00352DDD"/>
    <w:rsid w:val="00376B63"/>
    <w:rsid w:val="003A02E2"/>
    <w:rsid w:val="003F6412"/>
    <w:rsid w:val="00426849"/>
    <w:rsid w:val="004A3636"/>
    <w:rsid w:val="004B56FE"/>
    <w:rsid w:val="004C755E"/>
    <w:rsid w:val="00577954"/>
    <w:rsid w:val="005F1EBF"/>
    <w:rsid w:val="006031A6"/>
    <w:rsid w:val="00620822"/>
    <w:rsid w:val="006B6DC8"/>
    <w:rsid w:val="00747EC1"/>
    <w:rsid w:val="0077791F"/>
    <w:rsid w:val="00777ECC"/>
    <w:rsid w:val="007B551C"/>
    <w:rsid w:val="007D4313"/>
    <w:rsid w:val="00826FFA"/>
    <w:rsid w:val="00861BB6"/>
    <w:rsid w:val="008B349F"/>
    <w:rsid w:val="00973D09"/>
    <w:rsid w:val="00B4648B"/>
    <w:rsid w:val="00B8482C"/>
    <w:rsid w:val="00BD47B2"/>
    <w:rsid w:val="00BE7FC5"/>
    <w:rsid w:val="00C1785B"/>
    <w:rsid w:val="00CC7392"/>
    <w:rsid w:val="00CF5F9A"/>
    <w:rsid w:val="00D459ED"/>
    <w:rsid w:val="00DF5A77"/>
    <w:rsid w:val="00DF7033"/>
    <w:rsid w:val="00DF7348"/>
    <w:rsid w:val="00E95B83"/>
    <w:rsid w:val="00EA1725"/>
    <w:rsid w:val="00EA2827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E192D-46D6-426A-9607-F3B646A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68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076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679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230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014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889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4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0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67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85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62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234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982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40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427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880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سعود</dc:creator>
  <cp:lastModifiedBy>Hanan Faisal Alsahan</cp:lastModifiedBy>
  <cp:revision>2</cp:revision>
  <dcterms:created xsi:type="dcterms:W3CDTF">2017-01-03T10:08:00Z</dcterms:created>
  <dcterms:modified xsi:type="dcterms:W3CDTF">2017-01-03T10:08:00Z</dcterms:modified>
</cp:coreProperties>
</file>